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31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0"/>
        <w:gridCol w:w="1160"/>
        <w:gridCol w:w="820"/>
        <w:gridCol w:w="880"/>
        <w:gridCol w:w="860"/>
        <w:gridCol w:w="5940"/>
        <w:gridCol w:w="10400"/>
        <w:gridCol w:w="6980"/>
        <w:gridCol w:w="880"/>
        <w:gridCol w:w="960"/>
        <w:gridCol w:w="800"/>
        <w:gridCol w:w="840"/>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440" w:type="dxa"/>
            <w:vMerge w:val="restart"/>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auto"/>
                <w:spacing w:val="0"/>
                <w:sz w:val="22"/>
                <w:szCs w:val="22"/>
                <w:u w:val="none"/>
              </w:rPr>
            </w:pPr>
            <w:bookmarkStart w:id="0" w:name="_GoBack"/>
            <w:r>
              <w:rPr>
                <w:rFonts w:hint="eastAsia" w:ascii="宋体" w:hAnsi="宋体" w:eastAsia="宋体" w:cs="宋体"/>
                <w:b/>
                <w:bCs/>
                <w:i w:val="0"/>
                <w:iCs w:val="0"/>
                <w:caps w:val="0"/>
                <w:color w:val="auto"/>
                <w:spacing w:val="0"/>
                <w:kern w:val="0"/>
                <w:sz w:val="22"/>
                <w:szCs w:val="22"/>
                <w:u w:val="none"/>
                <w:bdr w:val="none" w:color="auto" w:sz="0" w:space="0"/>
                <w:lang w:val="en-US" w:eastAsia="zh-CN" w:bidi="ar"/>
              </w:rPr>
              <w:t>项目</w:t>
            </w:r>
            <w:r>
              <w:rPr>
                <w:rFonts w:hint="eastAsia" w:ascii="宋体" w:hAnsi="宋体" w:eastAsia="宋体" w:cs="宋体"/>
                <w:b/>
                <w:bCs/>
                <w:i w:val="0"/>
                <w:iCs w:val="0"/>
                <w:caps w:val="0"/>
                <w:color w:val="auto"/>
                <w:spacing w:val="0"/>
                <w:kern w:val="0"/>
                <w:sz w:val="22"/>
                <w:szCs w:val="22"/>
                <w:u w:val="none"/>
                <w:bdr w:val="none" w:color="auto" w:sz="0" w:space="0"/>
                <w:lang w:val="en-US" w:eastAsia="zh-CN" w:bidi="ar"/>
              </w:rPr>
              <w:br w:type="textWrapping"/>
            </w:r>
            <w:r>
              <w:rPr>
                <w:rFonts w:hint="eastAsia" w:ascii="宋体" w:hAnsi="宋体" w:eastAsia="宋体" w:cs="宋体"/>
                <w:b/>
                <w:bCs/>
                <w:i w:val="0"/>
                <w:iCs w:val="0"/>
                <w:caps w:val="0"/>
                <w:color w:val="auto"/>
                <w:spacing w:val="0"/>
                <w:kern w:val="0"/>
                <w:sz w:val="22"/>
                <w:szCs w:val="22"/>
                <w:u w:val="none"/>
                <w:bdr w:val="none" w:color="auto" w:sz="0" w:space="0"/>
                <w:lang w:val="en-US" w:eastAsia="zh-CN" w:bidi="ar"/>
              </w:rPr>
              <w:t>编码</w:t>
            </w:r>
          </w:p>
        </w:tc>
        <w:tc>
          <w:tcPr>
            <w:tcW w:w="1160" w:type="dxa"/>
            <w:vMerge w:val="restart"/>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项目名称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执法</w:t>
            </w: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br w:type="textWrapping"/>
            </w: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类别</w:t>
            </w:r>
          </w:p>
        </w:tc>
        <w:tc>
          <w:tcPr>
            <w:tcW w:w="880" w:type="dxa"/>
            <w:vMerge w:val="restart"/>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执法主体</w:t>
            </w:r>
          </w:p>
        </w:tc>
        <w:tc>
          <w:tcPr>
            <w:tcW w:w="860" w:type="dxa"/>
            <w:vMerge w:val="restart"/>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承办</w:t>
            </w: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br w:type="textWrapping"/>
            </w: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机构</w:t>
            </w:r>
          </w:p>
        </w:tc>
        <w:tc>
          <w:tcPr>
            <w:tcW w:w="25160" w:type="dxa"/>
            <w:gridSpan w:val="5"/>
            <w:tcBorders>
              <w:top w:val="single" w:color="auto" w:sz="4" w:space="0"/>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执法依据</w:t>
            </w:r>
          </w:p>
        </w:tc>
        <w:tc>
          <w:tcPr>
            <w:tcW w:w="800" w:type="dxa"/>
            <w:vMerge w:val="restart"/>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实施对象</w:t>
            </w:r>
          </w:p>
        </w:tc>
        <w:tc>
          <w:tcPr>
            <w:tcW w:w="1580" w:type="dxa"/>
            <w:gridSpan w:val="2"/>
            <w:tcBorders>
              <w:top w:val="single" w:color="auto" w:sz="4" w:space="0"/>
              <w:left w:val="nil"/>
              <w:bottom w:val="single" w:color="auto" w:sz="4" w:space="0"/>
              <w:right w:val="single" w:color="000000"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办理时限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3" w:hRule="atLeast"/>
        </w:trPr>
        <w:tc>
          <w:tcPr>
            <w:tcW w:w="440" w:type="dxa"/>
            <w:vMerge w:val="continue"/>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jc w:val="center"/>
              <w:rPr>
                <w:rFonts w:hint="eastAsia" w:ascii="宋体" w:hAnsi="宋体" w:eastAsia="宋体" w:cs="宋体"/>
                <w:b/>
                <w:bCs/>
                <w:i w:val="0"/>
                <w:iCs w:val="0"/>
                <w:caps w:val="0"/>
                <w:color w:val="auto"/>
                <w:spacing w:val="0"/>
                <w:sz w:val="22"/>
                <w:szCs w:val="22"/>
                <w:u w:val="none"/>
              </w:rPr>
            </w:pPr>
          </w:p>
        </w:tc>
        <w:tc>
          <w:tcPr>
            <w:tcW w:w="1160" w:type="dxa"/>
            <w:vMerge w:val="continue"/>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jc w:val="center"/>
              <w:rPr>
                <w:rFonts w:hint="eastAsia" w:ascii="宋体" w:hAnsi="宋体" w:eastAsia="宋体" w:cs="宋体"/>
                <w:b/>
                <w:bCs/>
                <w:i w:val="0"/>
                <w:iCs w:val="0"/>
                <w:caps w:val="0"/>
                <w:color w:val="000000"/>
                <w:spacing w:val="0"/>
                <w:sz w:val="28"/>
                <w:szCs w:val="28"/>
                <w:u w:val="none"/>
              </w:rPr>
            </w:pPr>
          </w:p>
        </w:tc>
        <w:tc>
          <w:tcPr>
            <w:tcW w:w="820" w:type="dxa"/>
            <w:vMerge w:val="continue"/>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jc w:val="center"/>
              <w:rPr>
                <w:rFonts w:hint="eastAsia" w:ascii="宋体" w:hAnsi="宋体" w:eastAsia="宋体" w:cs="宋体"/>
                <w:b/>
                <w:bCs/>
                <w:i w:val="0"/>
                <w:iCs w:val="0"/>
                <w:caps w:val="0"/>
                <w:color w:val="000000"/>
                <w:spacing w:val="0"/>
                <w:sz w:val="28"/>
                <w:szCs w:val="28"/>
                <w:u w:val="none"/>
              </w:rPr>
            </w:pPr>
          </w:p>
        </w:tc>
        <w:tc>
          <w:tcPr>
            <w:tcW w:w="880" w:type="dxa"/>
            <w:vMerge w:val="continue"/>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jc w:val="center"/>
              <w:rPr>
                <w:rFonts w:hint="eastAsia" w:ascii="宋体" w:hAnsi="宋体" w:eastAsia="宋体" w:cs="宋体"/>
                <w:b/>
                <w:bCs/>
                <w:i w:val="0"/>
                <w:iCs w:val="0"/>
                <w:caps w:val="0"/>
                <w:color w:val="000000"/>
                <w:spacing w:val="0"/>
                <w:sz w:val="28"/>
                <w:szCs w:val="28"/>
                <w:u w:val="none"/>
              </w:rPr>
            </w:pPr>
          </w:p>
        </w:tc>
        <w:tc>
          <w:tcPr>
            <w:tcW w:w="860" w:type="dxa"/>
            <w:vMerge w:val="continue"/>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jc w:val="center"/>
              <w:rPr>
                <w:rFonts w:hint="eastAsia" w:ascii="宋体" w:hAnsi="宋体" w:eastAsia="宋体" w:cs="宋体"/>
                <w:b/>
                <w:bCs/>
                <w:i w:val="0"/>
                <w:iCs w:val="0"/>
                <w:caps w:val="0"/>
                <w:color w:val="000000"/>
                <w:spacing w:val="0"/>
                <w:sz w:val="28"/>
                <w:szCs w:val="28"/>
                <w:u w:val="none"/>
              </w:rPr>
            </w:pPr>
          </w:p>
        </w:tc>
        <w:tc>
          <w:tcPr>
            <w:tcW w:w="594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法律</w:t>
            </w:r>
          </w:p>
        </w:tc>
        <w:tc>
          <w:tcPr>
            <w:tcW w:w="1040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行政法规</w:t>
            </w:r>
          </w:p>
        </w:tc>
        <w:tc>
          <w:tcPr>
            <w:tcW w:w="698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部委规章</w:t>
            </w:r>
          </w:p>
        </w:tc>
        <w:tc>
          <w:tcPr>
            <w:tcW w:w="88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政府</w:t>
            </w: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br w:type="textWrapping"/>
            </w: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规章</w:t>
            </w:r>
          </w:p>
        </w:tc>
        <w:tc>
          <w:tcPr>
            <w:tcW w:w="96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规范性</w:t>
            </w: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br w:type="textWrapping"/>
            </w: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文件</w:t>
            </w:r>
          </w:p>
        </w:tc>
        <w:tc>
          <w:tcPr>
            <w:tcW w:w="800" w:type="dxa"/>
            <w:vMerge w:val="continue"/>
            <w:tcBorders>
              <w:top w:val="single" w:color="auto" w:sz="4" w:space="0"/>
              <w:left w:val="single" w:color="auto" w:sz="4" w:space="0"/>
              <w:bottom w:val="single" w:color="000000" w:sz="4" w:space="0"/>
              <w:right w:val="single" w:color="auto" w:sz="4" w:space="0"/>
            </w:tcBorders>
            <w:shd w:val="clear" w:color="auto" w:fill="FFFFFF"/>
            <w:tcMar>
              <w:top w:w="10" w:type="dxa"/>
              <w:left w:w="10" w:type="dxa"/>
              <w:right w:w="10" w:type="dxa"/>
            </w:tcMar>
            <w:vAlign w:val="center"/>
          </w:tcPr>
          <w:p>
            <w:pPr>
              <w:jc w:val="center"/>
              <w:rPr>
                <w:rFonts w:hint="eastAsia" w:ascii="宋体" w:hAnsi="宋体" w:eastAsia="宋体" w:cs="宋体"/>
                <w:b/>
                <w:bCs/>
                <w:i w:val="0"/>
                <w:iCs w:val="0"/>
                <w:caps w:val="0"/>
                <w:color w:val="000000"/>
                <w:spacing w:val="0"/>
                <w:sz w:val="28"/>
                <w:szCs w:val="28"/>
                <w:u w:val="none"/>
              </w:rPr>
            </w:pPr>
          </w:p>
        </w:tc>
        <w:tc>
          <w:tcPr>
            <w:tcW w:w="84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法定时限</w:t>
            </w:r>
          </w:p>
        </w:tc>
        <w:tc>
          <w:tcPr>
            <w:tcW w:w="74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8"/>
                <w:szCs w:val="28"/>
                <w:u w:val="none"/>
              </w:rPr>
            </w:pPr>
            <w:r>
              <w:rPr>
                <w:rFonts w:hint="eastAsia" w:ascii="宋体" w:hAnsi="宋体" w:eastAsia="宋体" w:cs="宋体"/>
                <w:b/>
                <w:bCs/>
                <w:i w:val="0"/>
                <w:iCs w:val="0"/>
                <w:caps w:val="0"/>
                <w:color w:val="000000"/>
                <w:spacing w:val="0"/>
                <w:kern w:val="0"/>
                <w:sz w:val="28"/>
                <w:szCs w:val="28"/>
                <w:u w:val="none"/>
                <w:bdr w:val="none" w:color="auto" w:sz="0" w:space="0"/>
                <w:lang w:val="en-US" w:eastAsia="zh-CN" w:bidi="ar"/>
              </w:rPr>
              <w:t>承诺时限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60" w:hRule="atLeast"/>
        </w:trPr>
        <w:tc>
          <w:tcPr>
            <w:tcW w:w="440" w:type="dxa"/>
            <w:tcBorders>
              <w:top w:val="nil"/>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kern w:val="0"/>
                <w:sz w:val="24"/>
                <w:szCs w:val="24"/>
                <w:u w:val="none"/>
                <w:bdr w:val="none" w:color="auto" w:sz="0" w:space="0"/>
                <w:lang w:val="en-US" w:eastAsia="zh-CN" w:bidi="ar"/>
              </w:rPr>
              <w:t>1</w:t>
            </w:r>
          </w:p>
        </w:tc>
        <w:tc>
          <w:tcPr>
            <w:tcW w:w="116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bdr w:val="none" w:color="auto" w:sz="0" w:space="0"/>
                <w:lang w:val="en-US" w:eastAsia="zh-CN" w:bidi="ar"/>
              </w:rPr>
              <w:t>统计监督检查</w:t>
            </w:r>
          </w:p>
        </w:tc>
        <w:tc>
          <w:tcPr>
            <w:tcW w:w="82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bdr w:val="none" w:color="auto" w:sz="0" w:space="0"/>
                <w:lang w:val="en-US" w:eastAsia="zh-CN" w:bidi="ar"/>
              </w:rPr>
              <w:t>行政</w:t>
            </w:r>
            <w:r>
              <w:rPr>
                <w:rFonts w:hint="eastAsia" w:ascii="宋体" w:hAnsi="宋体" w:eastAsia="宋体" w:cs="宋体"/>
                <w:i w:val="0"/>
                <w:iCs w:val="0"/>
                <w:caps w:val="0"/>
                <w:color w:val="000000"/>
                <w:spacing w:val="0"/>
                <w:kern w:val="0"/>
                <w:sz w:val="24"/>
                <w:szCs w:val="24"/>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4"/>
                <w:szCs w:val="24"/>
                <w:u w:val="none"/>
                <w:bdr w:val="none" w:color="auto" w:sz="0" w:space="0"/>
                <w:lang w:val="en-US" w:eastAsia="zh-CN" w:bidi="ar"/>
              </w:rPr>
              <w:t>处罚</w:t>
            </w:r>
          </w:p>
        </w:tc>
        <w:tc>
          <w:tcPr>
            <w:tcW w:w="88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bdr w:val="none" w:color="auto" w:sz="0" w:space="0"/>
                <w:lang w:val="en-US" w:eastAsia="zh-CN" w:bidi="ar"/>
              </w:rPr>
              <w:t>白山市统计局</w:t>
            </w:r>
          </w:p>
        </w:tc>
        <w:tc>
          <w:tcPr>
            <w:tcW w:w="86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bdr w:val="none" w:color="auto" w:sz="0" w:space="0"/>
                <w:lang w:val="en-US" w:eastAsia="zh-CN" w:bidi="ar"/>
              </w:rPr>
              <w:t>法规科</w:t>
            </w:r>
          </w:p>
        </w:tc>
        <w:tc>
          <w:tcPr>
            <w:tcW w:w="594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auto"/>
                <w:spacing w:val="0"/>
                <w:sz w:val="22"/>
                <w:szCs w:val="22"/>
                <w:u w:val="none"/>
              </w:rPr>
            </w:pPr>
            <w:r>
              <w:rPr>
                <w:rFonts w:hint="eastAsia" w:ascii="宋体" w:hAnsi="宋体" w:eastAsia="宋体" w:cs="宋体"/>
                <w:i w:val="0"/>
                <w:iCs w:val="0"/>
                <w:caps w:val="0"/>
                <w:color w:val="auto"/>
                <w:spacing w:val="0"/>
                <w:kern w:val="0"/>
                <w:sz w:val="22"/>
                <w:szCs w:val="22"/>
                <w:u w:val="none"/>
                <w:bdr w:val="none" w:color="auto" w:sz="0" w:space="0"/>
                <w:lang w:val="en-US" w:eastAsia="zh-CN" w:bidi="ar"/>
              </w:rPr>
              <w:t>《中华人民共和国统计法》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hint="eastAsia" w:ascii="宋体" w:hAnsi="宋体" w:eastAsia="宋体" w:cs="宋体"/>
                <w:i w:val="0"/>
                <w:iCs w:val="0"/>
                <w:caps w:val="0"/>
                <w:color w:val="auto"/>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22"/>
                <w:szCs w:val="22"/>
                <w:u w:val="none"/>
                <w:bdr w:val="none" w:color="auto" w:sz="0" w:space="0"/>
                <w:lang w:val="en-US" w:eastAsia="zh-CN" w:bidi="ar"/>
              </w:rPr>
              <w:t>（一）拒绝提供统计资料或者经催报后仍未按时提供统计资料的；</w:t>
            </w:r>
            <w:r>
              <w:rPr>
                <w:rFonts w:hint="eastAsia" w:ascii="宋体" w:hAnsi="宋体" w:eastAsia="宋体" w:cs="宋体"/>
                <w:i w:val="0"/>
                <w:iCs w:val="0"/>
                <w:caps w:val="0"/>
                <w:color w:val="auto"/>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22"/>
                <w:szCs w:val="22"/>
                <w:u w:val="none"/>
                <w:bdr w:val="none" w:color="auto" w:sz="0" w:space="0"/>
                <w:lang w:val="en-US" w:eastAsia="zh-CN" w:bidi="ar"/>
              </w:rPr>
              <w:t>（二）提供不真实或者不完整的统计资料的；</w:t>
            </w:r>
            <w:r>
              <w:rPr>
                <w:rFonts w:hint="eastAsia" w:ascii="宋体" w:hAnsi="宋体" w:eastAsia="宋体" w:cs="宋体"/>
                <w:i w:val="0"/>
                <w:iCs w:val="0"/>
                <w:caps w:val="0"/>
                <w:color w:val="auto"/>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22"/>
                <w:szCs w:val="22"/>
                <w:u w:val="none"/>
                <w:bdr w:val="none" w:color="auto" w:sz="0" w:space="0"/>
                <w:lang w:val="en-US" w:eastAsia="zh-CN" w:bidi="ar"/>
              </w:rPr>
              <w:t>（三）拒绝答复或者不如实答复统计检查查询书的；</w:t>
            </w:r>
            <w:r>
              <w:rPr>
                <w:rFonts w:hint="eastAsia" w:ascii="宋体" w:hAnsi="宋体" w:eastAsia="宋体" w:cs="宋体"/>
                <w:i w:val="0"/>
                <w:iCs w:val="0"/>
                <w:caps w:val="0"/>
                <w:color w:val="auto"/>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22"/>
                <w:szCs w:val="22"/>
                <w:u w:val="none"/>
                <w:bdr w:val="none" w:color="auto" w:sz="0" w:space="0"/>
                <w:lang w:val="en-US" w:eastAsia="zh-CN" w:bidi="ar"/>
              </w:rPr>
              <w:t>（四）拒绝、阻碍统计调查、统计检查的；</w:t>
            </w:r>
            <w:r>
              <w:rPr>
                <w:rFonts w:hint="eastAsia" w:ascii="宋体" w:hAnsi="宋体" w:eastAsia="宋体" w:cs="宋体"/>
                <w:i w:val="0"/>
                <w:iCs w:val="0"/>
                <w:caps w:val="0"/>
                <w:color w:val="auto"/>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22"/>
                <w:szCs w:val="22"/>
                <w:u w:val="none"/>
                <w:bdr w:val="none" w:color="auto" w:sz="0" w:space="0"/>
                <w:lang w:val="en-US" w:eastAsia="zh-CN" w:bidi="ar"/>
              </w:rPr>
              <w:t>（五）转移、隐匿、篡改、毁弃或者拒绝提供原始记录和凭证、统计台账、统计调查表及其他相关证明和资料的。</w:t>
            </w:r>
            <w:r>
              <w:rPr>
                <w:rFonts w:hint="eastAsia" w:ascii="宋体" w:hAnsi="宋体" w:eastAsia="宋体" w:cs="宋体"/>
                <w:i w:val="0"/>
                <w:iCs w:val="0"/>
                <w:caps w:val="0"/>
                <w:color w:val="auto"/>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22"/>
                <w:szCs w:val="22"/>
                <w:u w:val="none"/>
                <w:bdr w:val="none" w:color="auto" w:sz="0" w:space="0"/>
                <w:lang w:val="en-US" w:eastAsia="zh-CN" w:bidi="ar"/>
              </w:rPr>
              <w:t>企业事业单位或者其他组织有前款所列行为之一的，可以并处五万元以下的罚款；情节严重的，并处五万元以上二十万元以下的罚款。</w:t>
            </w:r>
            <w:r>
              <w:rPr>
                <w:rFonts w:hint="eastAsia" w:ascii="宋体" w:hAnsi="宋体" w:eastAsia="宋体" w:cs="宋体"/>
                <w:i w:val="0"/>
                <w:iCs w:val="0"/>
                <w:caps w:val="0"/>
                <w:color w:val="auto"/>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22"/>
                <w:szCs w:val="22"/>
                <w:u w:val="none"/>
                <w:bdr w:val="none" w:color="auto" w:sz="0" w:space="0"/>
                <w:lang w:val="en-US" w:eastAsia="zh-CN" w:bidi="ar"/>
              </w:rPr>
              <w:t>个体工商户有本条第一款所列行为之一的，由县级以上人民政府统计机构责令改正，给予警告，可以并处一万元以下的罚款。</w:t>
            </w:r>
            <w:r>
              <w:rPr>
                <w:rFonts w:hint="eastAsia" w:ascii="宋体" w:hAnsi="宋体" w:eastAsia="宋体" w:cs="宋体"/>
                <w:i w:val="0"/>
                <w:iCs w:val="0"/>
                <w:caps w:val="0"/>
                <w:color w:val="auto"/>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22"/>
                <w:szCs w:val="22"/>
                <w:u w:val="none"/>
                <w:bdr w:val="none" w:color="auto" w:sz="0" w:space="0"/>
                <w:lang w:val="en-US" w:eastAsia="zh-CN" w:bidi="ar"/>
              </w:rPr>
              <w:br w:type="textWrapping"/>
            </w:r>
            <w:r>
              <w:rPr>
                <w:rFonts w:hint="eastAsia" w:ascii="宋体" w:hAnsi="宋体" w:eastAsia="宋体" w:cs="宋体"/>
                <w:i w:val="0"/>
                <w:iCs w:val="0"/>
                <w:caps w:val="0"/>
                <w:color w:val="auto"/>
                <w:spacing w:val="0"/>
                <w:kern w:val="0"/>
                <w:sz w:val="22"/>
                <w:szCs w:val="22"/>
                <w:u w:val="none"/>
                <w:bdr w:val="none" w:color="auto" w:sz="0" w:space="0"/>
                <w:lang w:val="en-US" w:eastAsia="zh-CN" w:bidi="ar"/>
              </w:rPr>
              <w:t>《中华人民共和国统计法》第四十二条：作为统计调查对象的国家机关、企业事业单位或者其他组织迟报统计资料，或者未按照国家有关规定设置原始记录、统计台账的，由县级以上人民政府统计机构责令改正，给予警告。企业事业单位或者其他组织有前款所列行为之一的，可以并处一万元以下的罚款。个体工商户迟报统计资料的，由县级以上人民政府统计机构责令改正，给予警告，可以并处一千元以下的罚款。</w:t>
            </w:r>
          </w:p>
        </w:tc>
        <w:tc>
          <w:tcPr>
            <w:tcW w:w="1040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1.《中华人民共和国统计法实施条例》第五十条　下列情形属于统计法第四十一条第二款规定的情节严重行为：</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（一）使用暴力或者威胁方法拒绝、阻碍统计调查、统计监督检查；</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（二）拒绝、阻碍统计调查、统计监督检查，严重影响相关工作正常开展；</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（三）提供不真实、不完整的统计资料，造成严重后果或者恶劣影响；</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（四）有统计法第四十一条第一款所列违法行为之一，1年内被责令改正3次以上。</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2.《全国经济普查条例》第三十六条　经济普查对象（个体经营户除外）有下列行为之一的，由县级以上人民政府统计机构责令改正，给予警告，可以予以通报；其直接负责的主管人员和其他直接责任人员属于国家工作人员的，依法给予处分：</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（一）拒绝或者妨碍接受经济普查机构、经济普查人员依法进行的调查的；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（二）提供虚假或者不完整的经济普查资料的；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（三）未按时提供与经济普查有关的资料，经催报后仍未提供的。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企业事业单位或者其他组织有前款所列行为之一的，可以并处5万元以下的罚款；情节严重的，并处5万元以上20万元以下的罚款。</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个体经营户有本条第一款所列行为之一的，由县级以上人民政府统计机构责令改正，给予警告，可以并处1万元以下的罚款。</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3.《全国农业普查条例》第三十九条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（一）拒绝或者妨碍普查办公室、普查人员依法进行调查的；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（二）提供虚假或者不完整的农业普查资料的；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（三）未按时提供与农业普查有关的资料，经催报后仍未提供的；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（四）拒绝、推诿和阻挠依法进行的农业普查执法检查的；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（五）在接受农业普查执法检查时，转移、隐匿、篡改、毁弃原始记录、统计台账、普查表、会计资料及其他相关资料的。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　　农业普查对象有本条第一款第（一）、（四）项所列违法行为之一的，由公安机关依法给予治安管理处罚。</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4.《全国人口普查条例》第三十六条  人口普查对象拒绝提供人口普查所需的资料，或者提供不真实、不完整的人口普查资料的，由县级以上人民政府统计机构责令改正，予以批评教育。</w:t>
            </w:r>
          </w:p>
        </w:tc>
        <w:tc>
          <w:tcPr>
            <w:tcW w:w="698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统计调查证管理办法》第十二条：任何单位违反本办法规定，伪造、变造或者冒用统计调查证的，由县级以上地方各级人民政府统计机构或者国家统计局派出的调查队责令改正，予以警告。对非经营活动中发生前款违法行为的，还可处以1000元以下的罚款。对经营活动中发生前款违法行为，有违法所得的，还可处以违法所得一至三倍但不超过30000元的罚款；没有违法所得的，还可处以10000元以下的罚款。对有前款违法行为的有关责任人员，由县级以上地方各级人民政府统计机构或者国家统计局派出的调查队予以警告，还可处以1000元以下的罚款，或者提请公安机关依照《中华人民共和国治安管理处罚法》处理。</w:t>
            </w:r>
          </w:p>
        </w:tc>
        <w:tc>
          <w:tcPr>
            <w:tcW w:w="88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c>
          <w:tcPr>
            <w:tcW w:w="96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c>
          <w:tcPr>
            <w:tcW w:w="80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作为统计调查对象的国家机关、企业事业单位或者其他组织及个体工商户</w:t>
            </w:r>
          </w:p>
        </w:tc>
        <w:tc>
          <w:tcPr>
            <w:tcW w:w="84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3个月。因特殊情况需要延长办理期限的，经单位负责人批准，但延长期限不得超过3个月。</w:t>
            </w:r>
          </w:p>
        </w:tc>
        <w:tc>
          <w:tcPr>
            <w:tcW w:w="74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90" w:hRule="atLeast"/>
        </w:trPr>
        <w:tc>
          <w:tcPr>
            <w:tcW w:w="440" w:type="dxa"/>
            <w:tcBorders>
              <w:top w:val="nil"/>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auto"/>
                <w:spacing w:val="0"/>
                <w:sz w:val="24"/>
                <w:szCs w:val="24"/>
                <w:u w:val="none"/>
              </w:rPr>
            </w:pPr>
            <w:r>
              <w:rPr>
                <w:rFonts w:hint="eastAsia" w:ascii="宋体" w:hAnsi="宋体" w:eastAsia="宋体" w:cs="宋体"/>
                <w:i w:val="0"/>
                <w:iCs w:val="0"/>
                <w:caps w:val="0"/>
                <w:color w:val="auto"/>
                <w:spacing w:val="0"/>
                <w:kern w:val="0"/>
                <w:sz w:val="24"/>
                <w:szCs w:val="24"/>
                <w:u w:val="none"/>
                <w:bdr w:val="none" w:color="auto" w:sz="0" w:space="0"/>
                <w:lang w:val="en-US" w:eastAsia="zh-CN" w:bidi="ar"/>
              </w:rPr>
              <w:t>2</w:t>
            </w:r>
          </w:p>
        </w:tc>
        <w:tc>
          <w:tcPr>
            <w:tcW w:w="116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bdr w:val="none" w:color="auto" w:sz="0" w:space="0"/>
                <w:lang w:val="en-US" w:eastAsia="zh-CN" w:bidi="ar"/>
              </w:rPr>
              <w:t>涉外调查监督检查</w:t>
            </w:r>
          </w:p>
        </w:tc>
        <w:tc>
          <w:tcPr>
            <w:tcW w:w="82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bdr w:val="none" w:color="auto" w:sz="0" w:space="0"/>
                <w:lang w:val="en-US" w:eastAsia="zh-CN" w:bidi="ar"/>
              </w:rPr>
              <w:t>行政处罚</w:t>
            </w:r>
          </w:p>
        </w:tc>
        <w:tc>
          <w:tcPr>
            <w:tcW w:w="88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bdr w:val="none" w:color="auto" w:sz="0" w:space="0"/>
                <w:lang w:val="en-US" w:eastAsia="zh-CN" w:bidi="ar"/>
              </w:rPr>
              <w:t>白山市统计局</w:t>
            </w:r>
          </w:p>
        </w:tc>
        <w:tc>
          <w:tcPr>
            <w:tcW w:w="86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4"/>
                <w:szCs w:val="24"/>
                <w:u w:val="none"/>
              </w:rPr>
            </w:pPr>
            <w:r>
              <w:rPr>
                <w:rFonts w:hint="eastAsia" w:ascii="宋体" w:hAnsi="宋体" w:eastAsia="宋体" w:cs="宋体"/>
                <w:i w:val="0"/>
                <w:iCs w:val="0"/>
                <w:caps w:val="0"/>
                <w:color w:val="000000"/>
                <w:spacing w:val="0"/>
                <w:kern w:val="0"/>
                <w:sz w:val="24"/>
                <w:szCs w:val="24"/>
                <w:u w:val="none"/>
                <w:bdr w:val="none" w:color="auto" w:sz="0" w:space="0"/>
                <w:lang w:val="en-US" w:eastAsia="zh-CN" w:bidi="ar"/>
              </w:rPr>
              <w:t>法规科</w:t>
            </w:r>
          </w:p>
        </w:tc>
        <w:tc>
          <w:tcPr>
            <w:tcW w:w="594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auto"/>
                <w:spacing w:val="0"/>
                <w:sz w:val="22"/>
                <w:szCs w:val="22"/>
                <w:u w:val="none"/>
              </w:rPr>
            </w:pPr>
            <w:r>
              <w:rPr>
                <w:rFonts w:hint="eastAsia" w:ascii="宋体" w:hAnsi="宋体" w:eastAsia="宋体" w:cs="宋体"/>
                <w:i w:val="0"/>
                <w:iCs w:val="0"/>
                <w:caps w:val="0"/>
                <w:color w:val="auto"/>
                <w:spacing w:val="0"/>
                <w:kern w:val="0"/>
                <w:sz w:val="22"/>
                <w:szCs w:val="22"/>
                <w:u w:val="none"/>
                <w:bdr w:val="none" w:color="auto" w:sz="0" w:space="0"/>
                <w:lang w:val="en-US" w:eastAsia="zh-CN" w:bidi="ar"/>
              </w:rPr>
              <w:t>　</w:t>
            </w:r>
          </w:p>
        </w:tc>
        <w:tc>
          <w:tcPr>
            <w:tcW w:w="1040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《中华人民共和国统计法实施条例》第五十四条　对违法从事涉外统计调查活动的单位、个人，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tc>
        <w:tc>
          <w:tcPr>
            <w:tcW w:w="698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《涉外调查管理办法》（国家统计局2004年第7号令）</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第三十一条违反本办法规定，有下列情形之一的，由国家统计局或者省级人民政府统计机构责令改正。其调查活动属于非经营性的，可处以五百元至一千元的罚款；其调查活动属于经营性，有违法所得的，可处以相当于违法所得一至三倍但是不超过三万元的罚款；没有违法所得的，可处以三千元至一万元的罚款。构成犯罪的，依法追究刑事责任：</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（一）未通过取得涉外调查许可证的机构进行涉外调查的；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（二）未取得涉外调查许可证进行涉外调查的；（三）伪造、冒用、转让涉外调查许可证、涉外社会调查项目批准文件的；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（四）使用已超过有效期的涉外调查许可证从事涉外调查的；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（五）超出许可范围从事涉外调查的。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第三十二条涉外调查机构和有关人员违反本办法规定，有下列情形之一的，由国家统计局或者省级人民政府统计机构责令改正。其调查活动属于非经营性的，可处以五百元至一千元的罚款。其调查活动属于经营性，有违法所得的，可处以相当于违法所得一至三倍但是不超过三万元的罚款；没有违法所得的，可处以三千元至一万元的罚款。构成犯罪的，依法追究刑事责任：</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（一）未经批准，擅自进行涉外社会调查的；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（二）未经批准，擅自变更已批准的涉外社会调查项目的；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（三）泄露调查对象商业秘密和个人隐私的；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（四）强迫调查对象接受调查的；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（五）冒用其他机构名义进行涉外调查的；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（六）未建立涉外调查业务档案的；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（七）拒绝接受管理机关检查的；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（八）在接受管理机关检查时，拒绝提供情况和有关材料、提供虚假情况和材料的；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（九）未标明、未向调查对象说明第二十六条规定事项的。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第三十三条涉外调查机构违反本办法规定，有下列情形之一的，由国家统计局或者省级人民政府统计机构责令改正，给予警告，可处以五百元至一千元的罚款：（一）涉外调查机构的名称、登记类型、法定代表人或者主要负责人、住所等发生变更，未依法申请变更涉外调查许可证的；（二）终止涉外调查业务，或者涉外调查许可证有效期届满后，未向原颁发机关缴回涉外调查许可证的。</w:t>
            </w:r>
          </w:p>
        </w:tc>
        <w:tc>
          <w:tcPr>
            <w:tcW w:w="88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c>
          <w:tcPr>
            <w:tcW w:w="96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c>
          <w:tcPr>
            <w:tcW w:w="80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涉外调查机构和有关人员；任何单位和个人</w:t>
            </w:r>
          </w:p>
        </w:tc>
        <w:tc>
          <w:tcPr>
            <w:tcW w:w="84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3个月。因特殊情况需要延长办理期限的，经单位负责人批准，但延长期限不得超过3个月。</w:t>
            </w:r>
          </w:p>
        </w:tc>
        <w:tc>
          <w:tcPr>
            <w:tcW w:w="740" w:type="dxa"/>
            <w:tcBorders>
              <w:top w:val="nil"/>
              <w:left w:val="nil"/>
              <w:bottom w:val="single" w:color="auto" w:sz="4" w:space="0"/>
              <w:right w:val="single" w:color="auto" w:sz="4" w:space="0"/>
            </w:tcBorders>
            <w:shd w:val="clear" w:color="auto" w:fill="FFFFFF"/>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2"/>
                <w:szCs w:val="22"/>
                <w:u w:val="none"/>
              </w:rPr>
            </w:pPr>
            <w:r>
              <w:rPr>
                <w:rFonts w:hint="eastAsia" w:ascii="宋体" w:hAnsi="宋体" w:eastAsia="宋体" w:cs="宋体"/>
                <w:i w:val="0"/>
                <w:iCs w:val="0"/>
                <w:caps w:val="0"/>
                <w:color w:val="000000"/>
                <w:spacing w:val="0"/>
                <w:kern w:val="0"/>
                <w:sz w:val="22"/>
                <w:szCs w:val="22"/>
                <w:u w:val="none"/>
                <w:bdr w:val="none" w:color="auto" w:sz="0" w:space="0"/>
                <w:lang w:val="en-US" w:eastAsia="zh-CN" w:bidi="ar"/>
              </w:rPr>
              <w:t>　</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OTdhNmQxMWM5MWY2OWFlZjI5MGZjMGM2NTBjMmQifQ=="/>
  </w:docVars>
  <w:rsids>
    <w:rsidRoot w:val="00000000"/>
    <w:rsid w:val="51827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张城源</cp:lastModifiedBy>
  <dcterms:modified xsi:type="dcterms:W3CDTF">2023-06-14T03:03:00Z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99CD3C0FA49549EDB53AF3ED7B04C8C2_12</vt:lpwstr>
  </property>
</Properties>
</file>